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DD9" w:rsidRDefault="00252DD9" w:rsidP="002E7029">
      <w:pPr>
        <w:shd w:val="clear" w:color="auto" w:fill="FFFFFF"/>
        <w:spacing w:before="40" w:after="80" w:line="360" w:lineRule="auto"/>
        <w:ind w:firstLine="720"/>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PHÁT HUY VAI TRÒ CỦA HỘI NÔNG DÂN TRONG BẢO VỆ NỀN TẢNG TƯ TƯỞNG CỦA ĐẢNG</w:t>
      </w:r>
    </w:p>
    <w:p w:rsidR="004E3FB8" w:rsidRPr="00252DD9" w:rsidRDefault="004E3FB8" w:rsidP="002E7029">
      <w:pPr>
        <w:shd w:val="clear" w:color="auto" w:fill="FFFFFF"/>
        <w:spacing w:before="40" w:after="80" w:line="360" w:lineRule="auto"/>
        <w:ind w:firstLine="720"/>
        <w:jc w:val="center"/>
        <w:rPr>
          <w:rFonts w:ascii="Times New Roman" w:eastAsia="Times New Roman" w:hAnsi="Times New Roman" w:cs="Times New Roman"/>
          <w:b/>
          <w:bCs/>
          <w:sz w:val="28"/>
          <w:szCs w:val="28"/>
          <w:lang w:val="vi-VN"/>
        </w:rPr>
      </w:pPr>
    </w:p>
    <w:p w:rsidR="00D872E0" w:rsidRDefault="007470F3" w:rsidP="002E7029">
      <w:pPr>
        <w:shd w:val="clear" w:color="auto" w:fill="FFFFFF"/>
        <w:spacing w:line="360" w:lineRule="auto"/>
        <w:ind w:firstLine="720"/>
        <w:jc w:val="both"/>
        <w:rPr>
          <w:rFonts w:ascii="Times New Roman" w:eastAsia="Times New Roman" w:hAnsi="Times New Roman" w:cs="Times New Roman"/>
          <w:bCs/>
          <w:i/>
          <w:iCs/>
          <w:color w:val="212529"/>
          <w:sz w:val="28"/>
          <w:szCs w:val="28"/>
          <w:lang w:val="vi-VN"/>
        </w:rPr>
      </w:pPr>
      <w:r w:rsidRPr="008F0FFE">
        <w:rPr>
          <w:rFonts w:ascii="Times New Roman" w:eastAsia="Times New Roman" w:hAnsi="Times New Roman" w:cs="Times New Roman"/>
          <w:i/>
          <w:sz w:val="28"/>
          <w:szCs w:val="28"/>
        </w:rPr>
        <w:t xml:space="preserve">Thực hiện </w:t>
      </w:r>
      <w:r w:rsidR="00EC07FE" w:rsidRPr="008F0FFE">
        <w:rPr>
          <w:rFonts w:ascii="Times New Roman" w:eastAsia="Times New Roman" w:hAnsi="Times New Roman" w:cs="Times New Roman"/>
          <w:bCs/>
          <w:i/>
          <w:iCs/>
          <w:color w:val="212529"/>
          <w:sz w:val="28"/>
          <w:szCs w:val="28"/>
        </w:rPr>
        <w:t>Nghị quyết số 35-NQ/TW về “Tăng cường bảo vệ nền tảng tư tưởng của Đảng, đấu tranh phản bác các quan điểm sai trái, thù địch trong tình hình mới” (Nghị quyết số 35), công tác bảo vệ nền tảng tư tưởng của Đảng đã thật sự đi vào cuộc sống, tạo nên những dấu ấn nổi bật. Có được những kết quả đó là do có sự lãnh đạo trực tiếp, thường xuyên của Đảng; sự vào cuộc của cả hệ thống chính trị và nhân dân, trong đó, sự lãnh đạo của Đảng là nhân tố quan trọng hàng đầu quyết định những thành công trong công tác bảo vệ nền tảng tư tưởng của Đảng.</w:t>
      </w:r>
      <w:r w:rsidR="008F0FFE">
        <w:rPr>
          <w:rFonts w:ascii="Times New Roman" w:eastAsia="Times New Roman" w:hAnsi="Times New Roman" w:cs="Times New Roman"/>
          <w:bCs/>
          <w:i/>
          <w:iCs/>
          <w:color w:val="212529"/>
          <w:sz w:val="28"/>
          <w:szCs w:val="28"/>
          <w:lang w:val="vi-VN"/>
        </w:rPr>
        <w:t xml:space="preserve"> Hội Nông dân phường Văn Yên cũng đã chú trọng đẩy mạnh, phát huy vai trò của Hội Nông dân trong bảo vệ nền tảng tư tưởng của Đảng</w:t>
      </w:r>
      <w:r w:rsidR="006C63CA">
        <w:rPr>
          <w:rFonts w:ascii="Times New Roman" w:eastAsia="Times New Roman" w:hAnsi="Times New Roman" w:cs="Times New Roman"/>
          <w:bCs/>
          <w:i/>
          <w:iCs/>
          <w:color w:val="212529"/>
          <w:sz w:val="28"/>
          <w:szCs w:val="28"/>
          <w:lang w:val="vi-VN"/>
        </w:rPr>
        <w:t>.</w:t>
      </w:r>
    </w:p>
    <w:p w:rsidR="007470F3" w:rsidRPr="007470F3" w:rsidRDefault="007470F3" w:rsidP="002E7029">
      <w:pPr>
        <w:shd w:val="clear" w:color="auto" w:fill="FFFFFF"/>
        <w:spacing w:before="40" w:after="8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Hội Nông dân phường Văn Yên</w:t>
      </w:r>
      <w:r w:rsidRPr="007470F3">
        <w:rPr>
          <w:rFonts w:ascii="Times New Roman" w:eastAsia="Times New Roman" w:hAnsi="Times New Roman" w:cs="Times New Roman"/>
          <w:sz w:val="28"/>
          <w:szCs w:val="28"/>
        </w:rPr>
        <w:t xml:space="preserve"> đã triển khai nhiều biện pháp tuyên truyền, vận động hội viên, nông dân tham gia bảo vệ nền tảng tư tưởng của Đảng, đấu tranh, phản bác các quan điểm sai trái, thù địch. Đồng thời, tích cực hỗ trợ hội viên, nông dân phát triển kinh tế; chăm lo tốt đời sống vật chất, tinh thần cho cán bộ, hội viên, nhân dân… Qua đó, góp phần xây dựng, củng cố niềm tin của cán bộ, hội viên, nhân dân với Đảng và Nhà nước ta.</w:t>
      </w:r>
    </w:p>
    <w:p w:rsidR="007470F3" w:rsidRPr="007470F3" w:rsidRDefault="007470F3" w:rsidP="002E7029">
      <w:pPr>
        <w:shd w:val="clear" w:color="auto" w:fill="FFFFFF"/>
        <w:spacing w:before="40" w:after="8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Hiện nay,</w:t>
      </w:r>
      <w:r w:rsidRPr="007470F3">
        <w:rPr>
          <w:rFonts w:ascii="Times New Roman" w:eastAsia="Times New Roman" w:hAnsi="Times New Roman" w:cs="Times New Roman"/>
          <w:sz w:val="28"/>
          <w:szCs w:val="28"/>
        </w:rPr>
        <w:t xml:space="preserve"> các thế lực thù địch luôn đẩy mạnh hoạt động chống phá Đảng và Nhà nước ta với nhiều hình thức. Lợi dụng trình độ nhận thức còn hạn chế của một số nông dân, các đối tượng, hội, nhóm phản động tuyên truyền chống phá với những luận điệu xuyên tạc, kích động, chống đối; đồng thời, quay phim, chụp hình đăng lên các trang mạng xã hội để làm lay động niềm tin của nhân dân, ảnh hưởng trực tiếp đến việc thực hiện các chủ trương của Đảng, chính sách và pháp luật của Nhà nước, chia rẽ</w:t>
      </w:r>
      <w:r w:rsidR="00EE4747">
        <w:rPr>
          <w:rFonts w:ascii="Times New Roman" w:eastAsia="Times New Roman" w:hAnsi="Times New Roman" w:cs="Times New Roman"/>
          <w:sz w:val="28"/>
          <w:szCs w:val="28"/>
        </w:rPr>
        <w:t xml:space="preserve"> khối đại đoàn kết dân tộc</w:t>
      </w:r>
      <w:r w:rsidRPr="007470F3">
        <w:rPr>
          <w:rFonts w:ascii="Times New Roman" w:eastAsia="Times New Roman" w:hAnsi="Times New Roman" w:cs="Times New Roman"/>
          <w:sz w:val="28"/>
          <w:szCs w:val="28"/>
        </w:rPr>
        <w:t>…</w:t>
      </w:r>
    </w:p>
    <w:p w:rsidR="00A17224" w:rsidRDefault="007470F3" w:rsidP="00A87B4A">
      <w:pPr>
        <w:shd w:val="clear" w:color="auto" w:fill="FFFFFF"/>
        <w:spacing w:before="40" w:after="80" w:line="360" w:lineRule="auto"/>
        <w:ind w:firstLine="720"/>
        <w:jc w:val="both"/>
        <w:rPr>
          <w:rFonts w:ascii="Times New Roman" w:eastAsia="Times New Roman" w:hAnsi="Times New Roman" w:cs="Times New Roman"/>
          <w:i/>
          <w:noProof/>
          <w:sz w:val="2"/>
          <w:szCs w:val="28"/>
        </w:rPr>
      </w:pPr>
      <w:r w:rsidRPr="007470F3">
        <w:rPr>
          <w:rFonts w:ascii="Times New Roman" w:eastAsia="Times New Roman" w:hAnsi="Times New Roman" w:cs="Times New Roman"/>
          <w:sz w:val="28"/>
          <w:szCs w:val="28"/>
        </w:rPr>
        <w:lastRenderedPageBreak/>
        <w:t>Thực hiện Nghị quyết số 35-NQ/TW, ngày 25-10-2018 của Bộ Chính trị khóa XII về “Tăng cường bảo vệ nền tảng tư tưởng của Đảng, đấu tranh phản bác các quan điểm sai trái, thù địch trong tình hình mới”, nhiệm kỳ 2018-2023</w:t>
      </w:r>
      <w:r>
        <w:rPr>
          <w:rFonts w:ascii="Times New Roman" w:eastAsia="Times New Roman" w:hAnsi="Times New Roman" w:cs="Times New Roman"/>
          <w:sz w:val="28"/>
          <w:szCs w:val="28"/>
        </w:rPr>
        <w:t>, Hội Nông dân phường</w:t>
      </w:r>
      <w:r w:rsidRPr="007470F3">
        <w:rPr>
          <w:rFonts w:ascii="Times New Roman" w:eastAsia="Times New Roman" w:hAnsi="Times New Roman" w:cs="Times New Roman"/>
          <w:sz w:val="28"/>
          <w:szCs w:val="28"/>
        </w:rPr>
        <w:t xml:space="preserve"> đã tuyên truyền cho </w:t>
      </w:r>
      <w:r>
        <w:rPr>
          <w:rFonts w:ascii="Times New Roman" w:eastAsia="Times New Roman" w:hAnsi="Times New Roman" w:cs="Times New Roman"/>
          <w:sz w:val="28"/>
          <w:szCs w:val="28"/>
        </w:rPr>
        <w:t>hàng trăm</w:t>
      </w:r>
      <w:r w:rsidRPr="007470F3">
        <w:rPr>
          <w:rFonts w:ascii="Times New Roman" w:eastAsia="Times New Roman" w:hAnsi="Times New Roman" w:cs="Times New Roman"/>
          <w:sz w:val="28"/>
          <w:szCs w:val="28"/>
        </w:rPr>
        <w:t xml:space="preserve"> lượt hội viên, nông dân. Riêng năm 2023, </w:t>
      </w:r>
      <w:r>
        <w:rPr>
          <w:rFonts w:ascii="Times New Roman" w:eastAsia="Times New Roman" w:hAnsi="Times New Roman" w:cs="Times New Roman"/>
          <w:sz w:val="28"/>
          <w:szCs w:val="28"/>
        </w:rPr>
        <w:t>Hội Nông dân phường đã tuyên tru</w:t>
      </w:r>
      <w:r w:rsidRPr="007470F3">
        <w:rPr>
          <w:rFonts w:ascii="Times New Roman" w:eastAsia="Times New Roman" w:hAnsi="Times New Roman" w:cs="Times New Roman"/>
          <w:sz w:val="28"/>
          <w:szCs w:val="28"/>
        </w:rPr>
        <w:t xml:space="preserve">yền cho </w:t>
      </w:r>
      <w:r w:rsidR="004A6CD8">
        <w:rPr>
          <w:rFonts w:ascii="Times New Roman" w:eastAsia="Times New Roman" w:hAnsi="Times New Roman" w:cs="Times New Roman"/>
          <w:sz w:val="28"/>
          <w:szCs w:val="28"/>
        </w:rPr>
        <w:t>821</w:t>
      </w:r>
      <w:r w:rsidRPr="007470F3">
        <w:rPr>
          <w:rFonts w:ascii="Times New Roman" w:eastAsia="Times New Roman" w:hAnsi="Times New Roman" w:cs="Times New Roman"/>
          <w:sz w:val="28"/>
          <w:szCs w:val="28"/>
        </w:rPr>
        <w:t xml:space="preserve"> lượt người tham dự, </w:t>
      </w:r>
      <w:r w:rsidR="004A6CD8" w:rsidRPr="004A6CD8">
        <w:rPr>
          <w:rFonts w:ascii="Times New Roman" w:eastAsia="Times New Roman" w:hAnsi="Times New Roman" w:cs="Times New Roman"/>
          <w:sz w:val="28"/>
          <w:szCs w:val="28"/>
        </w:rPr>
        <w:t>đạt 112</w:t>
      </w:r>
      <w:r w:rsidRPr="004A6CD8">
        <w:rPr>
          <w:rFonts w:ascii="Times New Roman" w:eastAsia="Times New Roman" w:hAnsi="Times New Roman" w:cs="Times New Roman"/>
          <w:sz w:val="28"/>
          <w:szCs w:val="28"/>
        </w:rPr>
        <w:t xml:space="preserve">% </w:t>
      </w:r>
      <w:r w:rsidRPr="007470F3">
        <w:rPr>
          <w:rFonts w:ascii="Times New Roman" w:eastAsia="Times New Roman" w:hAnsi="Times New Roman" w:cs="Times New Roman"/>
          <w:sz w:val="28"/>
          <w:szCs w:val="28"/>
        </w:rPr>
        <w:t xml:space="preserve">chỉ tiêu </w:t>
      </w:r>
      <w:r>
        <w:rPr>
          <w:rFonts w:ascii="Times New Roman" w:eastAsia="Times New Roman" w:hAnsi="Times New Roman" w:cs="Times New Roman"/>
          <w:sz w:val="28"/>
          <w:szCs w:val="28"/>
        </w:rPr>
        <w:t xml:space="preserve">Hội Nông dân thành phố </w:t>
      </w:r>
      <w:r w:rsidRPr="007470F3">
        <w:rPr>
          <w:rFonts w:ascii="Times New Roman" w:eastAsia="Times New Roman" w:hAnsi="Times New Roman" w:cs="Times New Roman"/>
          <w:sz w:val="28"/>
          <w:szCs w:val="28"/>
        </w:rPr>
        <w:t>giao. Công tác tuyên truyền được tổ chức thực hiện bằng nhiều hình thức: thông qua các cuộc họp, hội nghị, hội thảo, tập huấn, nhóm Zalo, trên bản tin, trang thông tin điện tử của HND thành phố… Qua đó, giúp cho hội viên, nông dân nâng cao nhận thức, củng cố niềm tin vào Chủ nghĩa Mác - Lênin, Tư tưởng Hồ Chí Minh, vào vai trò lãnh đạo của Đảng, Nhà nước; nhận định đúng và đấu tranh, phản bác có hiệu quả các quan điểm sai trái, thù địch của các thế lực thù địch, phản động nhằm</w:t>
      </w:r>
      <w:r w:rsidR="00F362F6">
        <w:rPr>
          <w:rFonts w:ascii="Times New Roman" w:eastAsia="Times New Roman" w:hAnsi="Times New Roman" w:cs="Times New Roman"/>
          <w:sz w:val="28"/>
          <w:szCs w:val="28"/>
          <w:lang w:val="vi-VN"/>
        </w:rPr>
        <w:t xml:space="preserve"> </w:t>
      </w:r>
      <w:r w:rsidR="00F362F6" w:rsidRPr="007470F3">
        <w:rPr>
          <w:rFonts w:ascii="Times New Roman" w:eastAsia="Times New Roman" w:hAnsi="Times New Roman" w:cs="Times New Roman"/>
          <w:sz w:val="28"/>
          <w:szCs w:val="28"/>
        </w:rPr>
        <w:t>chống phá Đảng và Nhà nước.  </w:t>
      </w:r>
    </w:p>
    <w:p w:rsidR="00F362F6" w:rsidRPr="00AF5F6E" w:rsidRDefault="00F362F6" w:rsidP="002E7029">
      <w:pPr>
        <w:shd w:val="clear" w:color="auto" w:fill="FFFFFF"/>
        <w:spacing w:before="40" w:after="80" w:line="360" w:lineRule="auto"/>
        <w:ind w:firstLine="720"/>
        <w:jc w:val="center"/>
        <w:rPr>
          <w:rFonts w:ascii="Times New Roman" w:eastAsia="Times New Roman" w:hAnsi="Times New Roman" w:cs="Times New Roman"/>
          <w:i/>
          <w:noProof/>
          <w:sz w:val="2"/>
          <w:szCs w:val="28"/>
        </w:rPr>
      </w:pPr>
    </w:p>
    <w:p w:rsidR="007470F3" w:rsidRPr="007470F3" w:rsidRDefault="007470F3" w:rsidP="002E7029">
      <w:pPr>
        <w:shd w:val="clear" w:color="auto" w:fill="FFFFFF"/>
        <w:spacing w:before="40" w:after="80" w:line="360" w:lineRule="auto"/>
        <w:ind w:firstLine="720"/>
        <w:jc w:val="both"/>
        <w:rPr>
          <w:rFonts w:ascii="Times New Roman" w:eastAsia="Times New Roman" w:hAnsi="Times New Roman" w:cs="Times New Roman"/>
          <w:sz w:val="28"/>
          <w:szCs w:val="28"/>
        </w:rPr>
      </w:pPr>
      <w:r w:rsidRPr="007470F3">
        <w:rPr>
          <w:rFonts w:ascii="Times New Roman" w:eastAsia="Times New Roman" w:hAnsi="Times New Roman" w:cs="Times New Roman"/>
          <w:sz w:val="28"/>
          <w:szCs w:val="28"/>
        </w:rPr>
        <w:t xml:space="preserve">Bên cạnh đó, </w:t>
      </w:r>
      <w:r>
        <w:rPr>
          <w:rFonts w:ascii="Times New Roman" w:eastAsia="Times New Roman" w:hAnsi="Times New Roman" w:cs="Times New Roman"/>
          <w:sz w:val="28"/>
          <w:szCs w:val="28"/>
        </w:rPr>
        <w:t xml:space="preserve">Hội Nông dân phường </w:t>
      </w:r>
      <w:r w:rsidRPr="007470F3">
        <w:rPr>
          <w:rFonts w:ascii="Times New Roman" w:eastAsia="Times New Roman" w:hAnsi="Times New Roman" w:cs="Times New Roman"/>
          <w:sz w:val="28"/>
          <w:szCs w:val="28"/>
        </w:rPr>
        <w:t>thường xuyên quan tâm chỉ đạo việc nắm bắt tình hình tư tưởng và dư luận xã hội trong nông dân; đẩy mạnh học tập và làm theo tư tưởng, đạo đức, phong cách Hồ Chí Minh gắn với thực hiện công tác xây dựng, chỉnh đốn Đảng; kết hợp hài hòa các biện pháp tuyên truyền giáo dục, vận động và từng bước đưa Nghị quyết 35 vào đời sống nhằm góp phần nâng cao nhận thức cho hội viên, nông dân. Các chi hội, tổ hội đã kịp thời định hướng, giáo dục hội viên, nông dân tiếp tục phát huy truyền thống cách mạng, giáo dục tinh thần yêu nước và nâng cao ý thức cảnh giác về âm mưu và hành động của các thế lực thù địch.</w:t>
      </w:r>
    </w:p>
    <w:p w:rsidR="007470F3" w:rsidRPr="007470F3" w:rsidRDefault="007470F3" w:rsidP="002E7029">
      <w:pPr>
        <w:shd w:val="clear" w:color="auto" w:fill="FFFFFF"/>
        <w:spacing w:before="40" w:after="80" w:line="360" w:lineRule="auto"/>
        <w:ind w:firstLine="720"/>
        <w:jc w:val="both"/>
        <w:rPr>
          <w:rFonts w:ascii="Times New Roman" w:eastAsia="Times New Roman" w:hAnsi="Times New Roman" w:cs="Times New Roman"/>
          <w:sz w:val="28"/>
          <w:szCs w:val="28"/>
        </w:rPr>
      </w:pPr>
      <w:r w:rsidRPr="007470F3">
        <w:rPr>
          <w:rFonts w:ascii="Times New Roman" w:eastAsia="Times New Roman" w:hAnsi="Times New Roman" w:cs="Times New Roman"/>
          <w:sz w:val="28"/>
          <w:szCs w:val="28"/>
        </w:rPr>
        <w:t>Tổ chức Hội cơ sở còn trực tiếp tham gia phong trào bảo vệ an ninh chính tr</w:t>
      </w:r>
      <w:r w:rsidR="004A6CD8">
        <w:rPr>
          <w:rFonts w:ascii="Times New Roman" w:eastAsia="Times New Roman" w:hAnsi="Times New Roman" w:cs="Times New Roman"/>
          <w:sz w:val="28"/>
          <w:szCs w:val="28"/>
        </w:rPr>
        <w:t>ị, trật tự an toàn xã hội;</w:t>
      </w:r>
      <w:r w:rsidRPr="007470F3">
        <w:rPr>
          <w:rFonts w:ascii="Times New Roman" w:eastAsia="Times New Roman" w:hAnsi="Times New Roman" w:cs="Times New Roman"/>
          <w:sz w:val="28"/>
          <w:szCs w:val="28"/>
        </w:rPr>
        <w:t xml:space="preserve"> phối hợp lực lượng Quân sự, Công an ngăn chặn các hành vi rủ rê, lôi kéo người dân tham gia tụ tập đông người… Bằng những hoạt động thiết thực, tổ chức cơ sở Hội đã góp phần quan trọng bảo vệ nền tảng tư tưởng của Đảng, làm thất bại âm mưu, thủ đoạn của các thế lực thù địch.</w:t>
      </w:r>
    </w:p>
    <w:p w:rsidR="007470F3" w:rsidRPr="00164433" w:rsidRDefault="007470F3" w:rsidP="002E7029">
      <w:pPr>
        <w:shd w:val="clear" w:color="auto" w:fill="FFFFFF"/>
        <w:spacing w:before="40" w:after="80" w:line="360" w:lineRule="auto"/>
        <w:ind w:firstLine="720"/>
        <w:jc w:val="both"/>
        <w:rPr>
          <w:rFonts w:ascii="Times New Roman" w:eastAsia="Times New Roman" w:hAnsi="Times New Roman" w:cs="Times New Roman"/>
          <w:i/>
          <w:sz w:val="28"/>
          <w:szCs w:val="28"/>
        </w:rPr>
      </w:pPr>
      <w:r w:rsidRPr="00164433">
        <w:rPr>
          <w:rFonts w:ascii="Times New Roman" w:eastAsia="Times New Roman" w:hAnsi="Times New Roman" w:cs="Times New Roman"/>
          <w:i/>
          <w:sz w:val="28"/>
          <w:szCs w:val="28"/>
        </w:rPr>
        <w:t>Hỗ trợ nông dân phát triển kinh tế, nâng cao đời sống</w:t>
      </w:r>
    </w:p>
    <w:p w:rsidR="007470F3" w:rsidRDefault="007470F3" w:rsidP="002E7029">
      <w:pPr>
        <w:shd w:val="clear" w:color="auto" w:fill="FFFFFF"/>
        <w:spacing w:before="40" w:after="80" w:line="360" w:lineRule="auto"/>
        <w:ind w:firstLine="720"/>
        <w:jc w:val="both"/>
        <w:rPr>
          <w:rFonts w:ascii="Times New Roman" w:eastAsia="Times New Roman" w:hAnsi="Times New Roman" w:cs="Times New Roman"/>
          <w:sz w:val="28"/>
          <w:szCs w:val="28"/>
        </w:rPr>
      </w:pPr>
      <w:r w:rsidRPr="007470F3">
        <w:rPr>
          <w:rFonts w:ascii="Times New Roman" w:eastAsia="Times New Roman" w:hAnsi="Times New Roman" w:cs="Times New Roman"/>
          <w:sz w:val="28"/>
          <w:szCs w:val="28"/>
        </w:rPr>
        <w:lastRenderedPageBreak/>
        <w:t xml:space="preserve">Bên cạnh công tác tuyên truyền, thực hiện Nghị quyết số 35-NQ/TW, </w:t>
      </w:r>
      <w:r w:rsidR="00205C1D">
        <w:rPr>
          <w:rFonts w:ascii="Times New Roman" w:eastAsia="Times New Roman" w:hAnsi="Times New Roman" w:cs="Times New Roman"/>
          <w:sz w:val="28"/>
          <w:szCs w:val="28"/>
        </w:rPr>
        <w:t>HND phường</w:t>
      </w:r>
      <w:r w:rsidRPr="007470F3">
        <w:rPr>
          <w:rFonts w:ascii="Times New Roman" w:eastAsia="Times New Roman" w:hAnsi="Times New Roman" w:cs="Times New Roman"/>
          <w:sz w:val="28"/>
          <w:szCs w:val="28"/>
        </w:rPr>
        <w:t xml:space="preserve"> triển khai thực hiện tốt các phong trào thi đua, giúp hội viên phát triển kinh tế, giảm nghèo. Qua đó, góp phần củng cố, xây dựng niềm tin trong hội viên, nhân dân.</w:t>
      </w:r>
    </w:p>
    <w:p w:rsidR="00AF5F6E" w:rsidRPr="00AF5F6E" w:rsidRDefault="00AF5F6E" w:rsidP="002E7029">
      <w:pPr>
        <w:shd w:val="clear" w:color="auto" w:fill="FFFFFF"/>
        <w:spacing w:before="40" w:after="80" w:line="360" w:lineRule="auto"/>
        <w:ind w:firstLine="720"/>
        <w:jc w:val="both"/>
        <w:rPr>
          <w:rFonts w:ascii="Times New Roman" w:eastAsia="Times New Roman" w:hAnsi="Times New Roman" w:cs="Times New Roman"/>
          <w:sz w:val="6"/>
          <w:szCs w:val="28"/>
          <w:lang w:val="vi-VN"/>
        </w:rPr>
      </w:pPr>
      <w:r>
        <w:rPr>
          <w:rFonts w:ascii="Times New Roman" w:eastAsia="Times New Roman" w:hAnsi="Times New Roman" w:cs="Times New Roman"/>
          <w:sz w:val="28"/>
          <w:szCs w:val="28"/>
          <w:lang w:val="vi-VN"/>
        </w:rPr>
        <w:t xml:space="preserve">                   </w:t>
      </w:r>
    </w:p>
    <w:p w:rsidR="00761C77" w:rsidRDefault="007470F3" w:rsidP="002E7029">
      <w:pPr>
        <w:shd w:val="clear" w:color="auto" w:fill="FFFFFF"/>
        <w:spacing w:before="40" w:after="80" w:line="360" w:lineRule="auto"/>
        <w:ind w:firstLine="720"/>
        <w:jc w:val="both"/>
        <w:rPr>
          <w:rFonts w:ascii="Times New Roman" w:eastAsia="Times New Roman" w:hAnsi="Times New Roman" w:cs="Times New Roman"/>
          <w:sz w:val="28"/>
          <w:szCs w:val="28"/>
        </w:rPr>
      </w:pPr>
      <w:r w:rsidRPr="007470F3">
        <w:rPr>
          <w:rFonts w:ascii="Times New Roman" w:eastAsia="Times New Roman" w:hAnsi="Times New Roman" w:cs="Times New Roman"/>
          <w:sz w:val="28"/>
          <w:szCs w:val="28"/>
        </w:rPr>
        <w:t xml:space="preserve">Trong nhiệm kỳ 2018-2023, </w:t>
      </w:r>
      <w:r w:rsidR="004A6CD8">
        <w:rPr>
          <w:rFonts w:ascii="Times New Roman" w:eastAsia="Times New Roman" w:hAnsi="Times New Roman" w:cs="Times New Roman"/>
          <w:sz w:val="28"/>
          <w:szCs w:val="28"/>
        </w:rPr>
        <w:t>Hội đảm nhận n</w:t>
      </w:r>
      <w:r w:rsidRPr="007470F3">
        <w:rPr>
          <w:rFonts w:ascii="Times New Roman" w:eastAsia="Times New Roman" w:hAnsi="Times New Roman" w:cs="Times New Roman"/>
          <w:sz w:val="28"/>
          <w:szCs w:val="28"/>
        </w:rPr>
        <w:t xml:space="preserve">guồn ủy thác của Ngân hàng Chính sách xã hội </w:t>
      </w:r>
      <w:r w:rsidR="004A6CD8">
        <w:rPr>
          <w:rFonts w:ascii="Times New Roman" w:eastAsia="Times New Roman" w:hAnsi="Times New Roman" w:cs="Times New Roman"/>
          <w:sz w:val="28"/>
          <w:szCs w:val="28"/>
        </w:rPr>
        <w:t xml:space="preserve">tỉnh </w:t>
      </w:r>
      <w:r w:rsidRPr="007470F3">
        <w:rPr>
          <w:rFonts w:ascii="Times New Roman" w:eastAsia="Times New Roman" w:hAnsi="Times New Roman" w:cs="Times New Roman"/>
          <w:sz w:val="28"/>
          <w:szCs w:val="28"/>
        </w:rPr>
        <w:t xml:space="preserve">qua HND với tổng số dư nợ đạt </w:t>
      </w:r>
      <w:r w:rsidR="0082789E">
        <w:rPr>
          <w:rFonts w:ascii="Times New Roman" w:eastAsia="Times New Roman" w:hAnsi="Times New Roman" w:cs="Times New Roman"/>
          <w:sz w:val="28"/>
          <w:szCs w:val="28"/>
        </w:rPr>
        <w:t>16,2</w:t>
      </w:r>
      <w:r w:rsidRPr="007470F3">
        <w:rPr>
          <w:rFonts w:ascii="Times New Roman" w:eastAsia="Times New Roman" w:hAnsi="Times New Roman" w:cs="Times New Roman"/>
          <w:sz w:val="28"/>
          <w:szCs w:val="28"/>
        </w:rPr>
        <w:t xml:space="preserve"> tỉ đồng</w:t>
      </w:r>
      <w:r w:rsidR="0082789E">
        <w:rPr>
          <w:rFonts w:ascii="Times New Roman" w:eastAsia="Times New Roman" w:hAnsi="Times New Roman" w:cs="Times New Roman"/>
          <w:sz w:val="28"/>
          <w:szCs w:val="28"/>
        </w:rPr>
        <w:t xml:space="preserve"> cho 208 hội viên vay</w:t>
      </w:r>
      <w:r w:rsidRPr="007470F3">
        <w:rPr>
          <w:rFonts w:ascii="Times New Roman" w:eastAsia="Times New Roman" w:hAnsi="Times New Roman" w:cs="Times New Roman"/>
          <w:sz w:val="28"/>
          <w:szCs w:val="28"/>
        </w:rPr>
        <w:t>.</w:t>
      </w:r>
      <w:r w:rsidR="004A6CD8">
        <w:rPr>
          <w:rFonts w:ascii="Times New Roman" w:eastAsia="Times New Roman" w:hAnsi="Times New Roman" w:cs="Times New Roman"/>
          <w:sz w:val="28"/>
          <w:szCs w:val="28"/>
        </w:rPr>
        <w:t xml:space="preserve"> Bên cạnh đó hàng năm Hội Nông dân đều huy động và quản lý rất tốt nguồn vốn tiết kiệm tại chỗ trung bình từ 900 – 1,3 tỷ đồng/năm. </w:t>
      </w:r>
      <w:r w:rsidRPr="007470F3">
        <w:rPr>
          <w:rFonts w:ascii="Times New Roman" w:eastAsia="Times New Roman" w:hAnsi="Times New Roman" w:cs="Times New Roman"/>
          <w:sz w:val="28"/>
          <w:szCs w:val="28"/>
        </w:rPr>
        <w:t xml:space="preserve"> </w:t>
      </w:r>
      <w:r w:rsidR="004A6CD8">
        <w:rPr>
          <w:rFonts w:ascii="Times New Roman" w:eastAsia="Times New Roman" w:hAnsi="Times New Roman" w:cs="Times New Roman"/>
          <w:sz w:val="28"/>
          <w:szCs w:val="28"/>
        </w:rPr>
        <w:t>Hội Nông dân phường</w:t>
      </w:r>
      <w:r w:rsidRPr="007470F3">
        <w:rPr>
          <w:rFonts w:ascii="Times New Roman" w:eastAsia="Times New Roman" w:hAnsi="Times New Roman" w:cs="Times New Roman"/>
          <w:sz w:val="28"/>
          <w:szCs w:val="28"/>
        </w:rPr>
        <w:t xml:space="preserve"> đã phối hợp hướng dẫn thành lập </w:t>
      </w:r>
      <w:r w:rsidR="00205C1D">
        <w:rPr>
          <w:rFonts w:ascii="Times New Roman" w:eastAsia="Times New Roman" w:hAnsi="Times New Roman" w:cs="Times New Roman"/>
          <w:sz w:val="28"/>
          <w:szCs w:val="28"/>
        </w:rPr>
        <w:t>03</w:t>
      </w:r>
      <w:bookmarkStart w:id="0" w:name="_GoBack"/>
      <w:bookmarkEnd w:id="0"/>
      <w:r w:rsidR="004A6CD8">
        <w:rPr>
          <w:rFonts w:ascii="Times New Roman" w:eastAsia="Times New Roman" w:hAnsi="Times New Roman" w:cs="Times New Roman"/>
          <w:sz w:val="28"/>
          <w:szCs w:val="28"/>
        </w:rPr>
        <w:t xml:space="preserve"> mô hình kinh tế tập thể là tổ hợp tác</w:t>
      </w:r>
      <w:r w:rsidRPr="007470F3">
        <w:rPr>
          <w:rFonts w:ascii="Times New Roman" w:eastAsia="Times New Roman" w:hAnsi="Times New Roman" w:cs="Times New Roman"/>
          <w:sz w:val="28"/>
          <w:szCs w:val="28"/>
        </w:rPr>
        <w:t xml:space="preserve"> sản xuất, </w:t>
      </w:r>
      <w:r w:rsidR="004A6CD8">
        <w:rPr>
          <w:rFonts w:ascii="Times New Roman" w:eastAsia="Times New Roman" w:hAnsi="Times New Roman" w:cs="Times New Roman"/>
          <w:sz w:val="28"/>
          <w:szCs w:val="28"/>
        </w:rPr>
        <w:t>với tổng số thành viên là 19 người</w:t>
      </w:r>
      <w:r w:rsidRPr="007470F3">
        <w:rPr>
          <w:rFonts w:ascii="Times New Roman" w:eastAsia="Times New Roman" w:hAnsi="Times New Roman" w:cs="Times New Roman"/>
          <w:sz w:val="28"/>
          <w:szCs w:val="28"/>
        </w:rPr>
        <w:t xml:space="preserve">, </w:t>
      </w:r>
      <w:r w:rsidR="004A6CD8">
        <w:rPr>
          <w:rFonts w:ascii="Times New Roman" w:eastAsia="Times New Roman" w:hAnsi="Times New Roman" w:cs="Times New Roman"/>
          <w:sz w:val="28"/>
          <w:szCs w:val="28"/>
        </w:rPr>
        <w:t>Hội Nông dân</w:t>
      </w:r>
      <w:r w:rsidRPr="007470F3">
        <w:rPr>
          <w:rFonts w:ascii="Times New Roman" w:eastAsia="Times New Roman" w:hAnsi="Times New Roman" w:cs="Times New Roman"/>
          <w:sz w:val="28"/>
          <w:szCs w:val="28"/>
        </w:rPr>
        <w:t xml:space="preserve"> phối hợp với các ban, ngành tổ chức hỗ trợ các thành viên trong THT về chuyển giao khoa học kỹ thuật, vốn... giúp hội viên, nông dân gắn kết trong chi, tổ Hội... Từ nhiều hoạt động hỗ trợ, nhiệm kỳ qua, HND </w:t>
      </w:r>
      <w:r w:rsidR="004A6CD8">
        <w:rPr>
          <w:rFonts w:ascii="Times New Roman" w:eastAsia="Times New Roman" w:hAnsi="Times New Roman" w:cs="Times New Roman"/>
          <w:sz w:val="28"/>
          <w:szCs w:val="28"/>
        </w:rPr>
        <w:t>phường đã giúp 07</w:t>
      </w:r>
      <w:r w:rsidRPr="007470F3">
        <w:rPr>
          <w:rFonts w:ascii="Times New Roman" w:eastAsia="Times New Roman" w:hAnsi="Times New Roman" w:cs="Times New Roman"/>
          <w:sz w:val="28"/>
          <w:szCs w:val="28"/>
        </w:rPr>
        <w:t xml:space="preserve"> hộ thoát nghèo.</w:t>
      </w:r>
    </w:p>
    <w:p w:rsidR="00F362F6" w:rsidRDefault="007470F3" w:rsidP="00A87B4A">
      <w:pPr>
        <w:shd w:val="clear" w:color="auto" w:fill="FFFFFF"/>
        <w:spacing w:before="40" w:after="80" w:line="360" w:lineRule="auto"/>
        <w:ind w:firstLine="720"/>
        <w:jc w:val="both"/>
        <w:rPr>
          <w:rFonts w:ascii="Times New Roman" w:eastAsia="Times New Roman" w:hAnsi="Times New Roman" w:cs="Times New Roman"/>
          <w:i/>
          <w:sz w:val="28"/>
          <w:szCs w:val="28"/>
          <w:lang w:val="vi-VN"/>
        </w:rPr>
      </w:pPr>
      <w:r w:rsidRPr="007470F3">
        <w:rPr>
          <w:rFonts w:ascii="Times New Roman" w:eastAsia="Times New Roman" w:hAnsi="Times New Roman" w:cs="Times New Roman"/>
          <w:sz w:val="28"/>
          <w:szCs w:val="28"/>
        </w:rPr>
        <w:t xml:space="preserve">Riêng năm </w:t>
      </w:r>
      <w:r w:rsidR="004A6CD8">
        <w:rPr>
          <w:rFonts w:ascii="Times New Roman" w:eastAsia="Times New Roman" w:hAnsi="Times New Roman" w:cs="Times New Roman"/>
          <w:sz w:val="28"/>
          <w:szCs w:val="28"/>
        </w:rPr>
        <w:t>đầu tiên của nhiệm kỳ 2023-2028</w:t>
      </w:r>
      <w:r w:rsidRPr="007470F3">
        <w:rPr>
          <w:rFonts w:ascii="Times New Roman" w:eastAsia="Times New Roman" w:hAnsi="Times New Roman" w:cs="Times New Roman"/>
          <w:sz w:val="28"/>
          <w:szCs w:val="28"/>
        </w:rPr>
        <w:t>; trực</w:t>
      </w:r>
      <w:r w:rsidR="004A6CD8">
        <w:rPr>
          <w:rFonts w:ascii="Times New Roman" w:eastAsia="Times New Roman" w:hAnsi="Times New Roman" w:cs="Times New Roman"/>
          <w:sz w:val="28"/>
          <w:szCs w:val="28"/>
        </w:rPr>
        <w:t xml:space="preserve"> tiếp hướng dẫn xây dựng được 01</w:t>
      </w:r>
      <w:r w:rsidRPr="007470F3">
        <w:rPr>
          <w:rFonts w:ascii="Times New Roman" w:eastAsia="Times New Roman" w:hAnsi="Times New Roman" w:cs="Times New Roman"/>
          <w:sz w:val="28"/>
          <w:szCs w:val="28"/>
        </w:rPr>
        <w:t xml:space="preserve"> </w:t>
      </w:r>
      <w:r w:rsidR="004A6CD8">
        <w:rPr>
          <w:rFonts w:ascii="Times New Roman" w:eastAsia="Times New Roman" w:hAnsi="Times New Roman" w:cs="Times New Roman"/>
          <w:sz w:val="28"/>
          <w:szCs w:val="28"/>
        </w:rPr>
        <w:t>tổ hợp tác</w:t>
      </w:r>
      <w:r w:rsidRPr="007470F3">
        <w:rPr>
          <w:rFonts w:ascii="Times New Roman" w:eastAsia="Times New Roman" w:hAnsi="Times New Roman" w:cs="Times New Roman"/>
          <w:sz w:val="28"/>
          <w:szCs w:val="28"/>
        </w:rPr>
        <w:t xml:space="preserve">, </w:t>
      </w:r>
      <w:r w:rsidR="004A6CD8">
        <w:rPr>
          <w:rFonts w:ascii="Times New Roman" w:eastAsia="Times New Roman" w:hAnsi="Times New Roman" w:cs="Times New Roman"/>
          <w:sz w:val="28"/>
          <w:szCs w:val="28"/>
        </w:rPr>
        <w:t>huy động được 1,2 tỷ đồng nguồn vốn tiết kiệm tại chỗ cho hàng trăm lượt hội viên vay phát triển kinh tế</w:t>
      </w:r>
      <w:r w:rsidRPr="007470F3">
        <w:rPr>
          <w:rFonts w:ascii="Times New Roman" w:eastAsia="Times New Roman" w:hAnsi="Times New Roman" w:cs="Times New Roman"/>
          <w:sz w:val="28"/>
          <w:szCs w:val="28"/>
        </w:rPr>
        <w:t xml:space="preserve">. </w:t>
      </w:r>
      <w:r w:rsidR="004A6CD8">
        <w:rPr>
          <w:rFonts w:ascii="Times New Roman" w:eastAsia="Times New Roman" w:hAnsi="Times New Roman" w:cs="Times New Roman"/>
          <w:sz w:val="28"/>
          <w:szCs w:val="28"/>
        </w:rPr>
        <w:t xml:space="preserve">Hội Nông dân phường đã chú trọng đẩy mạnh việc hướng dẫn hội viên học tập kinh nghiệm, tham gia vào chuỗi sản xuất, chế biến mặt hàng nông sản, thủy sản hiện có tại địa phương: xây dựng sản phẩm Ocop từ các nông sản vốn có: hành lá, rau muống...nghiên cứu và chế biến thành công tôm chua, ruốc cáy, nước mắm cáy từ sản phẩm </w:t>
      </w:r>
      <w:r w:rsidR="00E139D1">
        <w:rPr>
          <w:rFonts w:ascii="Times New Roman" w:eastAsia="Times New Roman" w:hAnsi="Times New Roman" w:cs="Times New Roman"/>
          <w:sz w:val="28"/>
          <w:szCs w:val="28"/>
        </w:rPr>
        <w:t>thủy sản do thiên nhiên ban tặng...</w:t>
      </w:r>
      <w:r w:rsidR="004D5E5D">
        <w:rPr>
          <w:rFonts w:ascii="Times New Roman" w:eastAsia="Times New Roman" w:hAnsi="Times New Roman" w:cs="Times New Roman"/>
          <w:i/>
          <w:sz w:val="28"/>
          <w:szCs w:val="28"/>
          <w:lang w:val="vi-VN"/>
        </w:rPr>
        <w:t xml:space="preserve">                    </w:t>
      </w:r>
    </w:p>
    <w:p w:rsidR="007470F3" w:rsidRPr="00E139D1" w:rsidRDefault="007470F3" w:rsidP="002E7029">
      <w:pPr>
        <w:shd w:val="clear" w:color="auto" w:fill="FFFFFF"/>
        <w:spacing w:before="40" w:after="80" w:line="360" w:lineRule="auto"/>
        <w:ind w:firstLine="720"/>
        <w:jc w:val="both"/>
        <w:rPr>
          <w:rFonts w:ascii="Times New Roman" w:eastAsia="Times New Roman" w:hAnsi="Times New Roman" w:cs="Times New Roman"/>
          <w:sz w:val="28"/>
          <w:szCs w:val="28"/>
          <w:lang w:val="vi-VN"/>
        </w:rPr>
      </w:pPr>
      <w:r w:rsidRPr="007470F3">
        <w:rPr>
          <w:rFonts w:ascii="Times New Roman" w:eastAsia="Times New Roman" w:hAnsi="Times New Roman" w:cs="Times New Roman"/>
          <w:sz w:val="28"/>
          <w:szCs w:val="28"/>
        </w:rPr>
        <w:t>Bên</w:t>
      </w:r>
      <w:r w:rsidR="00E139D1">
        <w:rPr>
          <w:rFonts w:ascii="Times New Roman" w:eastAsia="Times New Roman" w:hAnsi="Times New Roman" w:cs="Times New Roman"/>
          <w:sz w:val="28"/>
          <w:szCs w:val="28"/>
        </w:rPr>
        <w:t xml:space="preserve"> cạnh đó, nhiệm kỳ qua, có 205</w:t>
      </w:r>
      <w:r w:rsidRPr="007470F3">
        <w:rPr>
          <w:rFonts w:ascii="Times New Roman" w:eastAsia="Times New Roman" w:hAnsi="Times New Roman" w:cs="Times New Roman"/>
          <w:sz w:val="28"/>
          <w:szCs w:val="28"/>
        </w:rPr>
        <w:t xml:space="preserve"> lượt hộ nghèo được hỗ trợ về cây, con giống, vốn, khoa học kỹ thuật; vận động </w:t>
      </w:r>
      <w:r w:rsidR="00E139D1">
        <w:rPr>
          <w:rFonts w:ascii="Times New Roman" w:eastAsia="Times New Roman" w:hAnsi="Times New Roman" w:cs="Times New Roman"/>
          <w:sz w:val="28"/>
          <w:szCs w:val="28"/>
        </w:rPr>
        <w:t>hỗ trợ ngày công và vận động kinh phí hỗ trợ 07 hộ hội viên nghèo làm nhà ở</w:t>
      </w:r>
      <w:r w:rsidRPr="007470F3">
        <w:rPr>
          <w:rFonts w:ascii="Times New Roman" w:eastAsia="Times New Roman" w:hAnsi="Times New Roman" w:cs="Times New Roman"/>
          <w:sz w:val="28"/>
          <w:szCs w:val="28"/>
        </w:rPr>
        <w:t xml:space="preserve">. Các dịp lễ, Tết, các cấp Hội đã tổ chức thăm, tặng quà các gia đình chính sách, người có công, người có hoàn cảnh khó khăn. Qua 5 năm, đã tặng </w:t>
      </w:r>
      <w:r w:rsidR="00E139D1">
        <w:rPr>
          <w:rFonts w:ascii="Times New Roman" w:eastAsia="Times New Roman" w:hAnsi="Times New Roman" w:cs="Times New Roman"/>
          <w:sz w:val="28"/>
          <w:szCs w:val="28"/>
        </w:rPr>
        <w:t>315 phần quà</w:t>
      </w:r>
      <w:r w:rsidRPr="007470F3">
        <w:rPr>
          <w:rFonts w:ascii="Times New Roman" w:eastAsia="Times New Roman" w:hAnsi="Times New Roman" w:cs="Times New Roman"/>
          <w:sz w:val="28"/>
          <w:szCs w:val="28"/>
        </w:rPr>
        <w:t xml:space="preserve"> </w:t>
      </w:r>
      <w:r w:rsidR="00E139D1">
        <w:rPr>
          <w:rFonts w:ascii="Times New Roman" w:eastAsia="Times New Roman" w:hAnsi="Times New Roman" w:cs="Times New Roman"/>
          <w:sz w:val="28"/>
          <w:szCs w:val="28"/>
        </w:rPr>
        <w:t>với tổng trị giá 307</w:t>
      </w:r>
      <w:r w:rsidRPr="007470F3">
        <w:rPr>
          <w:rFonts w:ascii="Times New Roman" w:eastAsia="Times New Roman" w:hAnsi="Times New Roman" w:cs="Times New Roman"/>
          <w:sz w:val="28"/>
          <w:szCs w:val="28"/>
        </w:rPr>
        <w:t xml:space="preserve"> </w:t>
      </w:r>
      <w:r w:rsidR="00E139D1">
        <w:rPr>
          <w:rFonts w:ascii="Times New Roman" w:eastAsia="Times New Roman" w:hAnsi="Times New Roman" w:cs="Times New Roman"/>
          <w:sz w:val="28"/>
          <w:szCs w:val="28"/>
        </w:rPr>
        <w:t>triệu</w:t>
      </w:r>
      <w:r w:rsidRPr="007470F3">
        <w:rPr>
          <w:rFonts w:ascii="Times New Roman" w:eastAsia="Times New Roman" w:hAnsi="Times New Roman" w:cs="Times New Roman"/>
          <w:sz w:val="28"/>
          <w:szCs w:val="28"/>
        </w:rPr>
        <w:t xml:space="preserve"> đồng. Riêng năm 2023, thực </w:t>
      </w:r>
      <w:r w:rsidRPr="007470F3">
        <w:rPr>
          <w:rFonts w:ascii="Times New Roman" w:eastAsia="Times New Roman" w:hAnsi="Times New Roman" w:cs="Times New Roman"/>
          <w:sz w:val="28"/>
          <w:szCs w:val="28"/>
        </w:rPr>
        <w:lastRenderedPageBreak/>
        <w:t xml:space="preserve">hiện tinh thần tương trợ, giúp nhau phát triển kinh tế hộ gia đình, </w:t>
      </w:r>
      <w:r w:rsidR="00E139D1">
        <w:rPr>
          <w:rFonts w:ascii="Times New Roman" w:eastAsia="Times New Roman" w:hAnsi="Times New Roman" w:cs="Times New Roman"/>
          <w:sz w:val="28"/>
          <w:szCs w:val="28"/>
          <w:lang w:val="vi-VN"/>
        </w:rPr>
        <w:t>Hội đã vận động</w:t>
      </w:r>
      <w:r w:rsidRPr="007470F3">
        <w:rPr>
          <w:rFonts w:ascii="Times New Roman" w:eastAsia="Times New Roman" w:hAnsi="Times New Roman" w:cs="Times New Roman"/>
          <w:sz w:val="28"/>
          <w:szCs w:val="28"/>
        </w:rPr>
        <w:t xml:space="preserve"> hỗ trợ kinh phí </w:t>
      </w:r>
      <w:r w:rsidR="00E139D1">
        <w:rPr>
          <w:rFonts w:ascii="Times New Roman" w:eastAsia="Times New Roman" w:hAnsi="Times New Roman" w:cs="Times New Roman"/>
          <w:sz w:val="28"/>
          <w:szCs w:val="28"/>
          <w:lang w:val="vi-VN"/>
        </w:rPr>
        <w:t>tặng 30 suất quà, mỗi suất trị giá 600 ngàn đồng, Hội hỗ trợ giúp đỡ ngày công cho 02 hộ hội viên nghèo làm nhà ở. Đến cuối năm 2023, có 03 hộ nghèo do Hội Nông dân phường đỡ đầu thoát nghèo.</w:t>
      </w:r>
    </w:p>
    <w:p w:rsidR="007470F3" w:rsidRDefault="00E139D1" w:rsidP="002E7029">
      <w:pPr>
        <w:shd w:val="clear" w:color="auto" w:fill="FFFFFF"/>
        <w:spacing w:before="40" w:after="8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Đ</w:t>
      </w:r>
      <w:r w:rsidR="007470F3" w:rsidRPr="007470F3">
        <w:rPr>
          <w:rFonts w:ascii="Times New Roman" w:eastAsia="Times New Roman" w:hAnsi="Times New Roman" w:cs="Times New Roman"/>
          <w:sz w:val="28"/>
          <w:szCs w:val="28"/>
        </w:rPr>
        <w:t xml:space="preserve">ể tiếp tục làm tốt hơn vai trò của HND trong bảo vệ nền tảng tư tưởng của Đảng, các cấp HND </w:t>
      </w:r>
      <w:r w:rsidR="008E20CD">
        <w:rPr>
          <w:rFonts w:ascii="Times New Roman" w:eastAsia="Times New Roman" w:hAnsi="Times New Roman" w:cs="Times New Roman"/>
          <w:sz w:val="28"/>
          <w:szCs w:val="28"/>
          <w:lang w:val="vi-VN"/>
        </w:rPr>
        <w:t>phường</w:t>
      </w:r>
      <w:r w:rsidR="007470F3" w:rsidRPr="007470F3">
        <w:rPr>
          <w:rFonts w:ascii="Times New Roman" w:eastAsia="Times New Roman" w:hAnsi="Times New Roman" w:cs="Times New Roman"/>
          <w:sz w:val="28"/>
          <w:szCs w:val="28"/>
        </w:rPr>
        <w:t xml:space="preserve"> tiếp tục đẩy mạnh công tác tuyên truyền sâu rộng đến hội viên, nông dân chủ trương, đường lối của Đảng, chính sách và pháp và luật của Nhà nước; thường xuyên tuyên truyền, vạch trần âm mưu, phương thức, thủ đoạn chống phá của các thế lực thù địch đối với cách mạng nước ta; từ đó nâng cao ý thức trách nhiệm bảo vệ nền tảng tư tưởng của Đảng trong hội viên, nông dân. Đồng thời, phát động và thực hiện tốt các phong trào nông dân tham gia bảo vệ an ninh chính trị, trật tự an toàn xã hội, bảo vệ chủ quyền, biên giới, biển, đảo của Tổ quốc; tăng cường công tác quản lý, giáo dục cán bộ, hội viên chấp hành đúng điều lệ Hội, không lan truyền những thông tin sai lệch, xấu độc, phát tán những đơn thư nặc danh, mạo danh có nội dung xuyên tạc, vu khống, kích động...</w:t>
      </w:r>
    </w:p>
    <w:p w:rsidR="007470F3" w:rsidRDefault="007470F3" w:rsidP="002E7029">
      <w:pPr>
        <w:shd w:val="clear" w:color="auto" w:fill="FFFFFF"/>
        <w:spacing w:before="40" w:after="80" w:line="360" w:lineRule="auto"/>
        <w:ind w:firstLine="720"/>
        <w:jc w:val="both"/>
        <w:rPr>
          <w:rFonts w:ascii="Times New Roman" w:eastAsia="Times New Roman" w:hAnsi="Times New Roman" w:cs="Times New Roman"/>
          <w:sz w:val="28"/>
          <w:szCs w:val="28"/>
        </w:rPr>
      </w:pPr>
      <w:r w:rsidRPr="007470F3">
        <w:rPr>
          <w:rFonts w:ascii="Times New Roman" w:eastAsia="Times New Roman" w:hAnsi="Times New Roman" w:cs="Times New Roman"/>
          <w:sz w:val="28"/>
          <w:szCs w:val="28"/>
        </w:rPr>
        <w:t>Song song đó là tiếp tục phát huy vai trò “nêu gương” của cán bộ Hội. Mỗi cán bộ Hội phải phát huy vai trò tiên phong, gương mẫu trong việc thực hiện Nghị quyết 35-NQ/TW; tích cực học tập lý luận chính trị để trang bị kiến thức, nâng cao “khả năng miễn dịch”, tăng cường “sức đề kháng” trước âm mưu, thủ đoạn chống phá của các thế lực thù địch. Qua đó, góp phần bảo vệ nền tảng tư tưởng của Đảng, đấu tranh phản bác các quan điểm sai trái, thù địch trong tình hình mới.</w:t>
      </w:r>
    </w:p>
    <w:p w:rsidR="00252DD9" w:rsidRPr="00252DD9" w:rsidRDefault="00252DD9" w:rsidP="002E7029">
      <w:pPr>
        <w:shd w:val="clear" w:color="auto" w:fill="FFFFFF"/>
        <w:spacing w:before="40" w:after="80" w:line="360" w:lineRule="auto"/>
        <w:ind w:firstLine="720"/>
        <w:jc w:val="both"/>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 xml:space="preserve">                                      </w:t>
      </w:r>
      <w:r w:rsidRPr="00252DD9">
        <w:rPr>
          <w:rFonts w:ascii="Times New Roman" w:eastAsia="Times New Roman" w:hAnsi="Times New Roman" w:cs="Times New Roman"/>
          <w:b/>
          <w:sz w:val="28"/>
          <w:szCs w:val="28"/>
          <w:lang w:val="vi-VN"/>
        </w:rPr>
        <w:t>BCH HỘI NÔNG DÂN PHƯỜNG VĂN YÊN</w:t>
      </w:r>
    </w:p>
    <w:p w:rsidR="007470F3" w:rsidRPr="007470F3" w:rsidRDefault="007470F3" w:rsidP="002E7029">
      <w:pPr>
        <w:shd w:val="clear" w:color="auto" w:fill="FFFFFF"/>
        <w:spacing w:before="40" w:after="80" w:line="360" w:lineRule="auto"/>
        <w:ind w:firstLine="720"/>
        <w:jc w:val="both"/>
        <w:rPr>
          <w:rFonts w:ascii="Times New Roman" w:eastAsia="Times New Roman" w:hAnsi="Times New Roman" w:cs="Times New Roman"/>
          <w:sz w:val="28"/>
          <w:szCs w:val="28"/>
        </w:rPr>
      </w:pPr>
      <w:r w:rsidRPr="007470F3">
        <w:rPr>
          <w:rFonts w:ascii="Times New Roman" w:eastAsia="Times New Roman" w:hAnsi="Times New Roman" w:cs="Times New Roman"/>
          <w:sz w:val="28"/>
          <w:szCs w:val="28"/>
        </w:rPr>
        <w:t> </w:t>
      </w:r>
    </w:p>
    <w:p w:rsidR="002178D9" w:rsidRPr="007470F3" w:rsidRDefault="002178D9" w:rsidP="002E7029">
      <w:pPr>
        <w:spacing w:before="40" w:after="80" w:line="360" w:lineRule="auto"/>
        <w:ind w:firstLine="720"/>
        <w:rPr>
          <w:rFonts w:ascii="Times New Roman" w:hAnsi="Times New Roman" w:cs="Times New Roman"/>
          <w:sz w:val="28"/>
          <w:szCs w:val="28"/>
        </w:rPr>
      </w:pPr>
    </w:p>
    <w:sectPr w:rsidR="002178D9" w:rsidRPr="007470F3" w:rsidSect="003B0CCA">
      <w:footerReference w:type="default" r:id="rId6"/>
      <w:pgSz w:w="12240" w:h="15840"/>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63A" w:rsidRDefault="005D663A" w:rsidP="00761C77">
      <w:pPr>
        <w:spacing w:after="0" w:line="240" w:lineRule="auto"/>
      </w:pPr>
      <w:r>
        <w:separator/>
      </w:r>
    </w:p>
  </w:endnote>
  <w:endnote w:type="continuationSeparator" w:id="0">
    <w:p w:rsidR="005D663A" w:rsidRDefault="005D663A" w:rsidP="00761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514974"/>
      <w:docPartObj>
        <w:docPartGallery w:val="Page Numbers (Bottom of Page)"/>
        <w:docPartUnique/>
      </w:docPartObj>
    </w:sdtPr>
    <w:sdtEndPr>
      <w:rPr>
        <w:noProof/>
      </w:rPr>
    </w:sdtEndPr>
    <w:sdtContent>
      <w:p w:rsidR="00761C77" w:rsidRDefault="00761C77">
        <w:pPr>
          <w:pStyle w:val="Footer"/>
          <w:jc w:val="center"/>
        </w:pPr>
        <w:r>
          <w:fldChar w:fldCharType="begin"/>
        </w:r>
        <w:r>
          <w:instrText xml:space="preserve"> PAGE   \* MERGEFORMAT </w:instrText>
        </w:r>
        <w:r>
          <w:fldChar w:fldCharType="separate"/>
        </w:r>
        <w:r w:rsidR="00205C1D">
          <w:rPr>
            <w:noProof/>
          </w:rPr>
          <w:t>4</w:t>
        </w:r>
        <w:r>
          <w:rPr>
            <w:noProof/>
          </w:rPr>
          <w:fldChar w:fldCharType="end"/>
        </w:r>
      </w:p>
    </w:sdtContent>
  </w:sdt>
  <w:p w:rsidR="00761C77" w:rsidRDefault="00761C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63A" w:rsidRDefault="005D663A" w:rsidP="00761C77">
      <w:pPr>
        <w:spacing w:after="0" w:line="240" w:lineRule="auto"/>
      </w:pPr>
      <w:r>
        <w:separator/>
      </w:r>
    </w:p>
  </w:footnote>
  <w:footnote w:type="continuationSeparator" w:id="0">
    <w:p w:rsidR="005D663A" w:rsidRDefault="005D663A" w:rsidP="00761C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F3"/>
    <w:rsid w:val="00164433"/>
    <w:rsid w:val="002000A4"/>
    <w:rsid w:val="00205C1D"/>
    <w:rsid w:val="002178D9"/>
    <w:rsid w:val="00252DD9"/>
    <w:rsid w:val="002D4DB6"/>
    <w:rsid w:val="002E7029"/>
    <w:rsid w:val="003B0CCA"/>
    <w:rsid w:val="004A6CD8"/>
    <w:rsid w:val="004D5E5D"/>
    <w:rsid w:val="004E3FB8"/>
    <w:rsid w:val="005D663A"/>
    <w:rsid w:val="00656E3C"/>
    <w:rsid w:val="006C63CA"/>
    <w:rsid w:val="007470F3"/>
    <w:rsid w:val="00761C77"/>
    <w:rsid w:val="0082789E"/>
    <w:rsid w:val="008C5D9D"/>
    <w:rsid w:val="008E20CD"/>
    <w:rsid w:val="008F0FFE"/>
    <w:rsid w:val="00A17224"/>
    <w:rsid w:val="00A87B4A"/>
    <w:rsid w:val="00A937C3"/>
    <w:rsid w:val="00AD3025"/>
    <w:rsid w:val="00AE557E"/>
    <w:rsid w:val="00AF5F6E"/>
    <w:rsid w:val="00D872E0"/>
    <w:rsid w:val="00D97159"/>
    <w:rsid w:val="00E00905"/>
    <w:rsid w:val="00E139D1"/>
    <w:rsid w:val="00EC07FE"/>
    <w:rsid w:val="00EE4747"/>
    <w:rsid w:val="00F36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113B5"/>
  <w15:chartTrackingRefBased/>
  <w15:docId w15:val="{E29DE7A2-B530-4278-904F-4C1FE44C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C07FE"/>
    <w:rPr>
      <w:b/>
      <w:bCs/>
    </w:rPr>
  </w:style>
  <w:style w:type="paragraph" w:styleId="ListParagraph">
    <w:name w:val="List Paragraph"/>
    <w:basedOn w:val="Normal"/>
    <w:uiPriority w:val="34"/>
    <w:qFormat/>
    <w:rsid w:val="00D872E0"/>
    <w:pPr>
      <w:ind w:left="720"/>
      <w:contextualSpacing/>
    </w:pPr>
  </w:style>
  <w:style w:type="character" w:styleId="CommentReference">
    <w:name w:val="annotation reference"/>
    <w:basedOn w:val="DefaultParagraphFont"/>
    <w:uiPriority w:val="99"/>
    <w:semiHidden/>
    <w:unhideWhenUsed/>
    <w:rsid w:val="00761C77"/>
    <w:rPr>
      <w:sz w:val="16"/>
      <w:szCs w:val="16"/>
    </w:rPr>
  </w:style>
  <w:style w:type="paragraph" w:styleId="CommentText">
    <w:name w:val="annotation text"/>
    <w:basedOn w:val="Normal"/>
    <w:link w:val="CommentTextChar"/>
    <w:uiPriority w:val="99"/>
    <w:semiHidden/>
    <w:unhideWhenUsed/>
    <w:rsid w:val="00761C77"/>
    <w:pPr>
      <w:spacing w:line="240" w:lineRule="auto"/>
    </w:pPr>
    <w:rPr>
      <w:sz w:val="20"/>
      <w:szCs w:val="20"/>
    </w:rPr>
  </w:style>
  <w:style w:type="character" w:customStyle="1" w:styleId="CommentTextChar">
    <w:name w:val="Comment Text Char"/>
    <w:basedOn w:val="DefaultParagraphFont"/>
    <w:link w:val="CommentText"/>
    <w:uiPriority w:val="99"/>
    <w:semiHidden/>
    <w:rsid w:val="00761C77"/>
    <w:rPr>
      <w:sz w:val="20"/>
      <w:szCs w:val="20"/>
    </w:rPr>
  </w:style>
  <w:style w:type="paragraph" w:styleId="CommentSubject">
    <w:name w:val="annotation subject"/>
    <w:basedOn w:val="CommentText"/>
    <w:next w:val="CommentText"/>
    <w:link w:val="CommentSubjectChar"/>
    <w:uiPriority w:val="99"/>
    <w:semiHidden/>
    <w:unhideWhenUsed/>
    <w:rsid w:val="00761C77"/>
    <w:rPr>
      <w:b/>
      <w:bCs/>
    </w:rPr>
  </w:style>
  <w:style w:type="character" w:customStyle="1" w:styleId="CommentSubjectChar">
    <w:name w:val="Comment Subject Char"/>
    <w:basedOn w:val="CommentTextChar"/>
    <w:link w:val="CommentSubject"/>
    <w:uiPriority w:val="99"/>
    <w:semiHidden/>
    <w:rsid w:val="00761C77"/>
    <w:rPr>
      <w:b/>
      <w:bCs/>
      <w:sz w:val="20"/>
      <w:szCs w:val="20"/>
    </w:rPr>
  </w:style>
  <w:style w:type="paragraph" w:styleId="BalloonText">
    <w:name w:val="Balloon Text"/>
    <w:basedOn w:val="Normal"/>
    <w:link w:val="BalloonTextChar"/>
    <w:uiPriority w:val="99"/>
    <w:semiHidden/>
    <w:unhideWhenUsed/>
    <w:rsid w:val="00761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C77"/>
    <w:rPr>
      <w:rFonts w:ascii="Segoe UI" w:hAnsi="Segoe UI" w:cs="Segoe UI"/>
      <w:sz w:val="18"/>
      <w:szCs w:val="18"/>
    </w:rPr>
  </w:style>
  <w:style w:type="paragraph" w:styleId="Header">
    <w:name w:val="header"/>
    <w:basedOn w:val="Normal"/>
    <w:link w:val="HeaderChar"/>
    <w:uiPriority w:val="99"/>
    <w:unhideWhenUsed/>
    <w:rsid w:val="00761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C77"/>
  </w:style>
  <w:style w:type="paragraph" w:styleId="Footer">
    <w:name w:val="footer"/>
    <w:basedOn w:val="Normal"/>
    <w:link w:val="FooterChar"/>
    <w:uiPriority w:val="99"/>
    <w:unhideWhenUsed/>
    <w:rsid w:val="00761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100171">
      <w:bodyDiv w:val="1"/>
      <w:marLeft w:val="0"/>
      <w:marRight w:val="0"/>
      <w:marTop w:val="0"/>
      <w:marBottom w:val="0"/>
      <w:divBdr>
        <w:top w:val="none" w:sz="0" w:space="0" w:color="auto"/>
        <w:left w:val="none" w:sz="0" w:space="0" w:color="auto"/>
        <w:bottom w:val="none" w:sz="0" w:space="0" w:color="auto"/>
        <w:right w:val="none" w:sz="0" w:space="0" w:color="auto"/>
      </w:divBdr>
      <w:divsChild>
        <w:div w:id="1133644584">
          <w:marLeft w:val="0"/>
          <w:marRight w:val="0"/>
          <w:marTop w:val="300"/>
          <w:marBottom w:val="300"/>
          <w:divBdr>
            <w:top w:val="none" w:sz="0" w:space="0" w:color="auto"/>
            <w:left w:val="none" w:sz="0" w:space="0" w:color="auto"/>
            <w:bottom w:val="none" w:sz="0" w:space="0" w:color="auto"/>
            <w:right w:val="none" w:sz="0" w:space="0" w:color="auto"/>
          </w:divBdr>
        </w:div>
      </w:divsChild>
    </w:div>
    <w:div w:id="1829664092">
      <w:bodyDiv w:val="1"/>
      <w:marLeft w:val="0"/>
      <w:marRight w:val="0"/>
      <w:marTop w:val="0"/>
      <w:marBottom w:val="0"/>
      <w:divBdr>
        <w:top w:val="none" w:sz="0" w:space="0" w:color="auto"/>
        <w:left w:val="none" w:sz="0" w:space="0" w:color="auto"/>
        <w:bottom w:val="none" w:sz="0" w:space="0" w:color="auto"/>
        <w:right w:val="none" w:sz="0" w:space="0" w:color="auto"/>
      </w:divBdr>
      <w:divsChild>
        <w:div w:id="720787200">
          <w:marLeft w:val="0"/>
          <w:marRight w:val="0"/>
          <w:marTop w:val="0"/>
          <w:marBottom w:val="0"/>
          <w:divBdr>
            <w:top w:val="none" w:sz="0" w:space="0" w:color="auto"/>
            <w:left w:val="none" w:sz="0" w:space="0" w:color="auto"/>
            <w:bottom w:val="none" w:sz="0" w:space="0" w:color="auto"/>
            <w:right w:val="none" w:sz="0" w:space="0" w:color="auto"/>
          </w:divBdr>
        </w:div>
        <w:div w:id="876239315">
          <w:marLeft w:val="0"/>
          <w:marRight w:val="0"/>
          <w:marTop w:val="150"/>
          <w:marBottom w:val="210"/>
          <w:divBdr>
            <w:top w:val="none" w:sz="0" w:space="0" w:color="auto"/>
            <w:left w:val="none" w:sz="0" w:space="0" w:color="auto"/>
            <w:bottom w:val="none" w:sz="0" w:space="0" w:color="auto"/>
            <w:right w:val="none" w:sz="0" w:space="0" w:color="auto"/>
          </w:divBdr>
        </w:div>
        <w:div w:id="778256021">
          <w:marLeft w:val="0"/>
          <w:marRight w:val="0"/>
          <w:marTop w:val="150"/>
          <w:marBottom w:val="300"/>
          <w:divBdr>
            <w:top w:val="none" w:sz="0" w:space="0" w:color="auto"/>
            <w:left w:val="none" w:sz="0" w:space="0" w:color="auto"/>
            <w:bottom w:val="none" w:sz="0" w:space="0" w:color="auto"/>
            <w:right w:val="none" w:sz="0" w:space="0" w:color="auto"/>
          </w:divBdr>
          <w:divsChild>
            <w:div w:id="183248528">
              <w:marLeft w:val="0"/>
              <w:marRight w:val="0"/>
              <w:marTop w:val="150"/>
              <w:marBottom w:val="150"/>
              <w:divBdr>
                <w:top w:val="none" w:sz="0" w:space="0" w:color="auto"/>
                <w:left w:val="none" w:sz="0" w:space="0" w:color="auto"/>
                <w:bottom w:val="none" w:sz="0" w:space="0" w:color="auto"/>
                <w:right w:val="none" w:sz="0" w:space="0" w:color="auto"/>
              </w:divBdr>
            </w:div>
            <w:div w:id="1923948701">
              <w:marLeft w:val="0"/>
              <w:marRight w:val="0"/>
              <w:marTop w:val="150"/>
              <w:marBottom w:val="150"/>
              <w:divBdr>
                <w:top w:val="none" w:sz="0" w:space="0" w:color="auto"/>
                <w:left w:val="none" w:sz="0" w:space="0" w:color="auto"/>
                <w:bottom w:val="none" w:sz="0" w:space="0" w:color="auto"/>
                <w:right w:val="none" w:sz="0" w:space="0" w:color="auto"/>
              </w:divBdr>
            </w:div>
            <w:div w:id="760762091">
              <w:marLeft w:val="0"/>
              <w:marRight w:val="0"/>
              <w:marTop w:val="150"/>
              <w:marBottom w:val="150"/>
              <w:divBdr>
                <w:top w:val="none" w:sz="0" w:space="0" w:color="auto"/>
                <w:left w:val="none" w:sz="0" w:space="0" w:color="auto"/>
                <w:bottom w:val="none" w:sz="0" w:space="0" w:color="auto"/>
                <w:right w:val="none" w:sz="0" w:space="0" w:color="auto"/>
              </w:divBdr>
            </w:div>
            <w:div w:id="657536837">
              <w:marLeft w:val="0"/>
              <w:marRight w:val="0"/>
              <w:marTop w:val="150"/>
              <w:marBottom w:val="150"/>
              <w:divBdr>
                <w:top w:val="none" w:sz="0" w:space="0" w:color="auto"/>
                <w:left w:val="none" w:sz="0" w:space="0" w:color="auto"/>
                <w:bottom w:val="none" w:sz="0" w:space="0" w:color="auto"/>
                <w:right w:val="none" w:sz="0" w:space="0" w:color="auto"/>
              </w:divBdr>
            </w:div>
            <w:div w:id="1932228284">
              <w:marLeft w:val="0"/>
              <w:marRight w:val="0"/>
              <w:marTop w:val="150"/>
              <w:marBottom w:val="150"/>
              <w:divBdr>
                <w:top w:val="none" w:sz="0" w:space="0" w:color="auto"/>
                <w:left w:val="none" w:sz="0" w:space="0" w:color="auto"/>
                <w:bottom w:val="none" w:sz="0" w:space="0" w:color="auto"/>
                <w:right w:val="none" w:sz="0" w:space="0" w:color="auto"/>
              </w:divBdr>
            </w:div>
            <w:div w:id="767238985">
              <w:marLeft w:val="0"/>
              <w:marRight w:val="0"/>
              <w:marTop w:val="150"/>
              <w:marBottom w:val="150"/>
              <w:divBdr>
                <w:top w:val="none" w:sz="0" w:space="0" w:color="auto"/>
                <w:left w:val="none" w:sz="0" w:space="0" w:color="auto"/>
                <w:bottom w:val="none" w:sz="0" w:space="0" w:color="auto"/>
                <w:right w:val="none" w:sz="0" w:space="0" w:color="auto"/>
              </w:divBdr>
            </w:div>
            <w:div w:id="1289972109">
              <w:marLeft w:val="0"/>
              <w:marRight w:val="0"/>
              <w:marTop w:val="150"/>
              <w:marBottom w:val="150"/>
              <w:divBdr>
                <w:top w:val="none" w:sz="0" w:space="0" w:color="auto"/>
                <w:left w:val="none" w:sz="0" w:space="0" w:color="auto"/>
                <w:bottom w:val="none" w:sz="0" w:space="0" w:color="auto"/>
                <w:right w:val="none" w:sz="0" w:space="0" w:color="auto"/>
              </w:divBdr>
            </w:div>
            <w:div w:id="7753201">
              <w:marLeft w:val="0"/>
              <w:marRight w:val="0"/>
              <w:marTop w:val="150"/>
              <w:marBottom w:val="150"/>
              <w:divBdr>
                <w:top w:val="none" w:sz="0" w:space="0" w:color="auto"/>
                <w:left w:val="none" w:sz="0" w:space="0" w:color="auto"/>
                <w:bottom w:val="none" w:sz="0" w:space="0" w:color="auto"/>
                <w:right w:val="none" w:sz="0" w:space="0" w:color="auto"/>
              </w:divBdr>
            </w:div>
            <w:div w:id="1128350851">
              <w:marLeft w:val="0"/>
              <w:marRight w:val="0"/>
              <w:marTop w:val="150"/>
              <w:marBottom w:val="150"/>
              <w:divBdr>
                <w:top w:val="none" w:sz="0" w:space="0" w:color="auto"/>
                <w:left w:val="none" w:sz="0" w:space="0" w:color="auto"/>
                <w:bottom w:val="none" w:sz="0" w:space="0" w:color="auto"/>
                <w:right w:val="none" w:sz="0" w:space="0" w:color="auto"/>
              </w:divBdr>
            </w:div>
            <w:div w:id="1936009784">
              <w:marLeft w:val="0"/>
              <w:marRight w:val="0"/>
              <w:marTop w:val="150"/>
              <w:marBottom w:val="150"/>
              <w:divBdr>
                <w:top w:val="none" w:sz="0" w:space="0" w:color="auto"/>
                <w:left w:val="none" w:sz="0" w:space="0" w:color="auto"/>
                <w:bottom w:val="none" w:sz="0" w:space="0" w:color="auto"/>
                <w:right w:val="none" w:sz="0" w:space="0" w:color="auto"/>
              </w:divBdr>
            </w:div>
            <w:div w:id="678889479">
              <w:marLeft w:val="0"/>
              <w:marRight w:val="0"/>
              <w:marTop w:val="150"/>
              <w:marBottom w:val="150"/>
              <w:divBdr>
                <w:top w:val="none" w:sz="0" w:space="0" w:color="auto"/>
                <w:left w:val="none" w:sz="0" w:space="0" w:color="auto"/>
                <w:bottom w:val="none" w:sz="0" w:space="0" w:color="auto"/>
                <w:right w:val="none" w:sz="0" w:space="0" w:color="auto"/>
              </w:divBdr>
            </w:div>
            <w:div w:id="1898467724">
              <w:marLeft w:val="0"/>
              <w:marRight w:val="0"/>
              <w:marTop w:val="150"/>
              <w:marBottom w:val="150"/>
              <w:divBdr>
                <w:top w:val="none" w:sz="0" w:space="0" w:color="auto"/>
                <w:left w:val="none" w:sz="0" w:space="0" w:color="auto"/>
                <w:bottom w:val="none" w:sz="0" w:space="0" w:color="auto"/>
                <w:right w:val="none" w:sz="0" w:space="0" w:color="auto"/>
              </w:divBdr>
            </w:div>
            <w:div w:id="296768052">
              <w:marLeft w:val="0"/>
              <w:marRight w:val="0"/>
              <w:marTop w:val="150"/>
              <w:marBottom w:val="150"/>
              <w:divBdr>
                <w:top w:val="none" w:sz="0" w:space="0" w:color="auto"/>
                <w:left w:val="none" w:sz="0" w:space="0" w:color="auto"/>
                <w:bottom w:val="none" w:sz="0" w:space="0" w:color="auto"/>
                <w:right w:val="none" w:sz="0" w:space="0" w:color="auto"/>
              </w:divBdr>
            </w:div>
            <w:div w:id="658391643">
              <w:marLeft w:val="0"/>
              <w:marRight w:val="0"/>
              <w:marTop w:val="150"/>
              <w:marBottom w:val="150"/>
              <w:divBdr>
                <w:top w:val="none" w:sz="0" w:space="0" w:color="auto"/>
                <w:left w:val="none" w:sz="0" w:space="0" w:color="auto"/>
                <w:bottom w:val="none" w:sz="0" w:space="0" w:color="auto"/>
                <w:right w:val="none" w:sz="0" w:space="0" w:color="auto"/>
              </w:divBdr>
            </w:div>
            <w:div w:id="1208252132">
              <w:marLeft w:val="0"/>
              <w:marRight w:val="0"/>
              <w:marTop w:val="150"/>
              <w:marBottom w:val="150"/>
              <w:divBdr>
                <w:top w:val="none" w:sz="0" w:space="0" w:color="auto"/>
                <w:left w:val="none" w:sz="0" w:space="0" w:color="auto"/>
                <w:bottom w:val="none" w:sz="0" w:space="0" w:color="auto"/>
                <w:right w:val="none" w:sz="0" w:space="0" w:color="auto"/>
              </w:divBdr>
            </w:div>
            <w:div w:id="7131182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6168EF-AFAF-45ED-8FC1-9E59BDB74B0F}"/>
</file>

<file path=customXml/itemProps2.xml><?xml version="1.0" encoding="utf-8"?>
<ds:datastoreItem xmlns:ds="http://schemas.openxmlformats.org/officeDocument/2006/customXml" ds:itemID="{9AC0CE77-1A76-419C-9167-D9DC9D852BBC}"/>
</file>

<file path=customXml/itemProps3.xml><?xml version="1.0" encoding="utf-8"?>
<ds:datastoreItem xmlns:ds="http://schemas.openxmlformats.org/officeDocument/2006/customXml" ds:itemID="{2E5A9426-CA14-4C93-8F4F-3BAB67A59B6F}"/>
</file>

<file path=docProps/app.xml><?xml version="1.0" encoding="utf-8"?>
<Properties xmlns="http://schemas.openxmlformats.org/officeDocument/2006/extended-properties" xmlns:vt="http://schemas.openxmlformats.org/officeDocument/2006/docPropsVTypes">
  <Template>Normal</Template>
  <TotalTime>75</TotalTime>
  <Pages>4</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2024-05-22T08:32:00Z</dcterms:created>
  <dcterms:modified xsi:type="dcterms:W3CDTF">2024-06-10T08:29:00Z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